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5E" w:rsidRDefault="002A605E" w:rsidP="002A605E">
      <w:pPr>
        <w:spacing w:before="100" w:after="100"/>
        <w:jc w:val="center"/>
        <w:rPr>
          <w:b/>
          <w:lang w:val="en-GB"/>
        </w:rPr>
      </w:pPr>
      <w:bookmarkStart w:id="0" w:name="_GoBack"/>
      <w:bookmarkEnd w:id="0"/>
      <w:r>
        <w:rPr>
          <w:b/>
          <w:lang w:val="en-GB"/>
        </w:rPr>
        <w:t>Processing of Personal Data</w:t>
      </w:r>
    </w:p>
    <w:p w:rsidR="002A605E" w:rsidRPr="001419FB" w:rsidRDefault="002A605E" w:rsidP="002A605E">
      <w:pPr>
        <w:spacing w:before="100" w:after="100"/>
        <w:jc w:val="center"/>
        <w:rPr>
          <w:b/>
          <w:lang w:val="en-GB"/>
        </w:rPr>
      </w:pPr>
    </w:p>
    <w:p w:rsidR="002A605E" w:rsidRPr="002A605E" w:rsidRDefault="002A605E" w:rsidP="002A605E">
      <w:pPr>
        <w:pStyle w:val="Overskrift1"/>
        <w:numPr>
          <w:ilvl w:val="0"/>
          <w:numId w:val="12"/>
        </w:numPr>
      </w:pPr>
      <w:r w:rsidRPr="002A605E">
        <w:t>INSTRUCTIONS</w:t>
      </w:r>
    </w:p>
    <w:p w:rsidR="002A605E" w:rsidRPr="002A605E" w:rsidRDefault="002A605E" w:rsidP="002A605E">
      <w:pPr>
        <w:pStyle w:val="Overskrift2"/>
      </w:pPr>
      <w:r w:rsidRPr="002A605E">
        <w:t>Brief description of the Service and the purposes of the processing</w:t>
      </w:r>
    </w:p>
    <w:p w:rsidR="002A605E" w:rsidRPr="005C1F42" w:rsidRDefault="002A605E" w:rsidP="002A605E">
      <w:pPr>
        <w:pStyle w:val="Normalindrykning"/>
        <w:rPr>
          <w:rFonts w:eastAsia="Arial Unicode MS"/>
          <w:lang w:val="en-US"/>
        </w:rPr>
      </w:pPr>
      <w:r w:rsidRPr="005C1F42">
        <w:rPr>
          <w:rFonts w:eastAsia="Arial Unicode MS"/>
          <w:lang w:val="en-US"/>
        </w:rPr>
        <w:t xml:space="preserve">Wolters Kluwer will process the personal data to the extent necessary to provide the Service pursuant to the Agreement and as further specified in the Specification, and as further instructed by the Customer in its use of the Service. </w:t>
      </w:r>
    </w:p>
    <w:p w:rsidR="002A605E" w:rsidRPr="002A605E" w:rsidRDefault="002A605E" w:rsidP="002A605E">
      <w:pPr>
        <w:pStyle w:val="Overskrift2"/>
      </w:pPr>
      <w:r w:rsidRPr="002A605E">
        <w:t>Categories of personal data</w:t>
      </w:r>
    </w:p>
    <w:p w:rsidR="002A605E" w:rsidRPr="005C1F42" w:rsidRDefault="002A605E" w:rsidP="002A605E">
      <w:pPr>
        <w:pStyle w:val="Listeafsnit"/>
        <w:numPr>
          <w:ilvl w:val="0"/>
          <w:numId w:val="13"/>
        </w:numPr>
        <w:autoSpaceDE w:val="0"/>
        <w:autoSpaceDN w:val="0"/>
        <w:adjustRightInd w:val="0"/>
        <w:spacing w:after="0" w:line="240" w:lineRule="auto"/>
        <w:rPr>
          <w:rFonts w:eastAsia="Arial Unicode MS"/>
          <w:lang w:val="en-US"/>
        </w:rPr>
      </w:pPr>
      <w:bookmarkStart w:id="1" w:name="_Hlk512001873"/>
      <w:r w:rsidRPr="005C1F42">
        <w:rPr>
          <w:rFonts w:eastAsia="Arial Unicode MS"/>
          <w:lang w:val="en-US"/>
        </w:rPr>
        <w:t>Identification numbers such as social security numbers and IP-addresses</w:t>
      </w:r>
    </w:p>
    <w:p w:rsidR="002A605E" w:rsidRPr="005C1F42" w:rsidRDefault="002A605E" w:rsidP="002A605E">
      <w:pPr>
        <w:pStyle w:val="Listeafsnit"/>
        <w:numPr>
          <w:ilvl w:val="0"/>
          <w:numId w:val="13"/>
        </w:numPr>
        <w:autoSpaceDE w:val="0"/>
        <w:autoSpaceDN w:val="0"/>
        <w:adjustRightInd w:val="0"/>
        <w:spacing w:after="0" w:line="240" w:lineRule="auto"/>
        <w:rPr>
          <w:rFonts w:eastAsia="Arial Unicode MS"/>
          <w:lang w:val="en-US"/>
        </w:rPr>
      </w:pPr>
      <w:r w:rsidRPr="005C1F42">
        <w:rPr>
          <w:rFonts w:eastAsia="Arial Unicode MS"/>
          <w:lang w:val="en-US"/>
        </w:rPr>
        <w:t>Contact information such as names, email addresses, telephone numbers and physical addresses</w:t>
      </w:r>
    </w:p>
    <w:p w:rsidR="002A605E" w:rsidRPr="005C1F42" w:rsidRDefault="002A605E" w:rsidP="002A605E">
      <w:pPr>
        <w:pStyle w:val="Listeafsnit"/>
        <w:numPr>
          <w:ilvl w:val="0"/>
          <w:numId w:val="13"/>
        </w:numPr>
        <w:autoSpaceDE w:val="0"/>
        <w:autoSpaceDN w:val="0"/>
        <w:adjustRightInd w:val="0"/>
        <w:spacing w:after="0" w:line="240" w:lineRule="auto"/>
        <w:rPr>
          <w:rFonts w:eastAsia="Arial Unicode MS"/>
          <w:lang w:val="en-US"/>
        </w:rPr>
      </w:pPr>
      <w:r w:rsidRPr="005C1F42">
        <w:rPr>
          <w:rFonts w:eastAsia="Arial Unicode MS"/>
          <w:lang w:val="en-US"/>
        </w:rPr>
        <w:t>Financial information insofar necessary to perform compliance processes such as closing of books, tax declaration and audit</w:t>
      </w:r>
    </w:p>
    <w:p w:rsidR="002A605E" w:rsidRPr="005C1F42" w:rsidRDefault="002A605E" w:rsidP="002A605E">
      <w:pPr>
        <w:pStyle w:val="Listeafsnit"/>
        <w:numPr>
          <w:ilvl w:val="0"/>
          <w:numId w:val="13"/>
        </w:numPr>
        <w:autoSpaceDE w:val="0"/>
        <w:autoSpaceDN w:val="0"/>
        <w:adjustRightInd w:val="0"/>
        <w:spacing w:after="0" w:line="240" w:lineRule="auto"/>
        <w:rPr>
          <w:rFonts w:eastAsia="Arial Unicode MS"/>
          <w:lang w:val="en-US"/>
        </w:rPr>
      </w:pPr>
      <w:r w:rsidRPr="005C1F42">
        <w:rPr>
          <w:rFonts w:eastAsia="Arial Unicode MS"/>
          <w:lang w:val="en-US"/>
        </w:rPr>
        <w:t>Information on social and/or societal status insofar necessary to perform compliance processes such as closing of books, tax declaration and audit</w:t>
      </w:r>
    </w:p>
    <w:bookmarkEnd w:id="1"/>
    <w:p w:rsidR="002A605E" w:rsidRPr="002A605E" w:rsidRDefault="002A605E" w:rsidP="002A605E">
      <w:pPr>
        <w:pStyle w:val="Overskrift2"/>
      </w:pPr>
      <w:r w:rsidRPr="002A605E">
        <w:t>Categories of data subjects</w:t>
      </w:r>
    </w:p>
    <w:p w:rsidR="002A605E" w:rsidRPr="005C1F42" w:rsidRDefault="002A605E" w:rsidP="002A605E">
      <w:pPr>
        <w:autoSpaceDE w:val="0"/>
        <w:autoSpaceDN w:val="0"/>
        <w:adjustRightInd w:val="0"/>
        <w:spacing w:after="0" w:line="240" w:lineRule="auto"/>
        <w:ind w:firstLine="850"/>
        <w:rPr>
          <w:rFonts w:eastAsia="Arial Unicode MS"/>
          <w:lang w:val="en-US"/>
        </w:rPr>
      </w:pPr>
      <w:r w:rsidRPr="005C1F42">
        <w:rPr>
          <w:rFonts w:eastAsia="Arial Unicode MS"/>
          <w:lang w:val="en-US"/>
        </w:rPr>
        <w:t>Employees of the Customer</w:t>
      </w:r>
    </w:p>
    <w:p w:rsidR="002A605E" w:rsidRPr="002A605E" w:rsidRDefault="002A605E" w:rsidP="002A605E">
      <w:pPr>
        <w:pStyle w:val="Overskrift2"/>
      </w:pPr>
      <w:r w:rsidRPr="002A605E">
        <w:t>Processing activities</w:t>
      </w:r>
    </w:p>
    <w:p w:rsidR="002A605E" w:rsidRDefault="002A605E" w:rsidP="002A605E">
      <w:pPr>
        <w:pStyle w:val="Normalindrykning"/>
        <w:rPr>
          <w:rFonts w:eastAsia="Arial Unicode MS"/>
          <w:lang w:val="en-US"/>
        </w:rPr>
      </w:pPr>
      <w:r w:rsidRPr="005C1F42">
        <w:rPr>
          <w:rFonts w:eastAsia="Arial Unicode MS"/>
          <w:lang w:val="en-US"/>
        </w:rPr>
        <w:t xml:space="preserve">Storage, administration, erasure and error correction of personal data and such other processing activities that are required to process the personal data in accordance with the Customer’s instructions and to ensure that the Customer can use the compliance processes supported by the Service, such as closing of books, tax declaration and audit services. </w:t>
      </w:r>
    </w:p>
    <w:p w:rsidR="002A605E" w:rsidRPr="002A605E" w:rsidRDefault="002A605E" w:rsidP="002A605E">
      <w:pPr>
        <w:pStyle w:val="Overskrift2"/>
      </w:pPr>
      <w:r w:rsidRPr="002A605E">
        <w:t>Location of personal data processing</w:t>
      </w:r>
    </w:p>
    <w:p w:rsidR="002A605E" w:rsidRPr="005C1F42" w:rsidRDefault="002A605E" w:rsidP="002A605E">
      <w:pPr>
        <w:autoSpaceDE w:val="0"/>
        <w:autoSpaceDN w:val="0"/>
        <w:adjustRightInd w:val="0"/>
        <w:spacing w:after="0" w:line="240" w:lineRule="auto"/>
        <w:ind w:firstLine="850"/>
        <w:rPr>
          <w:rFonts w:eastAsia="Arial Unicode MS"/>
          <w:lang w:val="en-US"/>
        </w:rPr>
      </w:pPr>
      <w:r>
        <w:rPr>
          <w:rFonts w:eastAsia="Arial Unicode MS"/>
          <w:lang w:val="en-US"/>
        </w:rPr>
        <w:t>Sweden, Denmark, Norway, I</w:t>
      </w:r>
      <w:r w:rsidRPr="005C1F42">
        <w:rPr>
          <w:rFonts w:eastAsia="Arial Unicode MS"/>
          <w:lang w:val="en-US"/>
        </w:rPr>
        <w:t xml:space="preserve">reland and Germany. </w:t>
      </w:r>
    </w:p>
    <w:p w:rsidR="002A605E" w:rsidRPr="002A605E" w:rsidRDefault="002A605E" w:rsidP="002A605E">
      <w:pPr>
        <w:pStyle w:val="Overskrift2"/>
      </w:pPr>
      <w:r w:rsidRPr="002A605E">
        <w:t>Use for the purposes of improving the Services</w:t>
      </w:r>
    </w:p>
    <w:p w:rsidR="002A605E" w:rsidRDefault="002A605E" w:rsidP="002A605E">
      <w:pPr>
        <w:pStyle w:val="NumreratStycke111"/>
        <w:numPr>
          <w:ilvl w:val="2"/>
          <w:numId w:val="11"/>
        </w:numPr>
        <w:rPr>
          <w:rFonts w:eastAsia="Arial Unicode MS"/>
          <w:lang w:val="en-US"/>
        </w:rPr>
      </w:pPr>
      <w:r>
        <w:rPr>
          <w:rFonts w:eastAsia="Arial Unicode MS"/>
          <w:lang w:val="en-US"/>
        </w:rPr>
        <w:t>Specification of the categories of personal data that may be used for the purposes of improving services that the Customer has ordered:</w:t>
      </w:r>
    </w:p>
    <w:p w:rsidR="002A605E" w:rsidRPr="005C1F42" w:rsidRDefault="002A605E" w:rsidP="002A605E">
      <w:pPr>
        <w:autoSpaceDE w:val="0"/>
        <w:autoSpaceDN w:val="0"/>
        <w:adjustRightInd w:val="0"/>
        <w:spacing w:after="0" w:line="240" w:lineRule="auto"/>
        <w:ind w:firstLine="850"/>
        <w:rPr>
          <w:rFonts w:eastAsia="Arial Unicode MS"/>
          <w:lang w:val="en-US"/>
        </w:rPr>
      </w:pPr>
      <w:bookmarkStart w:id="2" w:name="_Hlk511999535"/>
      <w:r w:rsidRPr="005C1F42">
        <w:rPr>
          <w:rFonts w:eastAsia="Arial Unicode MS"/>
          <w:lang w:val="en-US"/>
        </w:rPr>
        <w:t>Email addresses and names of the Customer’s employees</w:t>
      </w:r>
      <w:bookmarkEnd w:id="2"/>
      <w:r w:rsidRPr="005C1F42">
        <w:rPr>
          <w:rFonts w:eastAsia="Arial Unicode MS"/>
          <w:lang w:val="en-US"/>
        </w:rPr>
        <w:t>.</w:t>
      </w:r>
    </w:p>
    <w:p w:rsidR="002A605E" w:rsidRDefault="002A605E" w:rsidP="002A605E">
      <w:pPr>
        <w:pStyle w:val="NumreratStycke111"/>
        <w:numPr>
          <w:ilvl w:val="2"/>
          <w:numId w:val="11"/>
        </w:numPr>
        <w:rPr>
          <w:rFonts w:eastAsia="Arial Unicode MS"/>
          <w:lang w:val="en-US"/>
        </w:rPr>
      </w:pPr>
      <w:r>
        <w:rPr>
          <w:rFonts w:eastAsia="Arial Unicode MS"/>
          <w:lang w:val="en-US"/>
        </w:rPr>
        <w:t>This personal data shall be obtained from the following processing activities that Wolters Kluwer performs on behalf of the Customer:</w:t>
      </w:r>
    </w:p>
    <w:p w:rsidR="002A605E" w:rsidRPr="005C1F42" w:rsidRDefault="002A605E" w:rsidP="002A605E">
      <w:pPr>
        <w:autoSpaceDE w:val="0"/>
        <w:autoSpaceDN w:val="0"/>
        <w:adjustRightInd w:val="0"/>
        <w:spacing w:after="0" w:line="240" w:lineRule="auto"/>
        <w:ind w:firstLine="850"/>
        <w:rPr>
          <w:rFonts w:eastAsia="Arial Unicode MS"/>
          <w:lang w:val="en-US"/>
        </w:rPr>
      </w:pPr>
      <w:bookmarkStart w:id="3" w:name="_Hlk511999640"/>
      <w:r w:rsidRPr="005C1F42">
        <w:rPr>
          <w:rFonts w:eastAsia="Arial Unicode MS"/>
          <w:lang w:val="en-US"/>
        </w:rPr>
        <w:t>License Management processing</w:t>
      </w:r>
    </w:p>
    <w:p w:rsidR="002A605E" w:rsidRPr="005C1F42" w:rsidRDefault="002A605E" w:rsidP="002A605E">
      <w:pPr>
        <w:autoSpaceDE w:val="0"/>
        <w:autoSpaceDN w:val="0"/>
        <w:adjustRightInd w:val="0"/>
        <w:spacing w:after="0" w:line="240" w:lineRule="auto"/>
        <w:ind w:firstLine="850"/>
        <w:rPr>
          <w:rFonts w:eastAsia="Arial Unicode MS"/>
          <w:lang w:val="en-US"/>
        </w:rPr>
      </w:pPr>
      <w:r w:rsidRPr="005C1F42">
        <w:rPr>
          <w:rFonts w:eastAsia="Arial Unicode MS"/>
          <w:lang w:val="en-US"/>
        </w:rPr>
        <w:t>End-user support processing</w:t>
      </w:r>
    </w:p>
    <w:bookmarkEnd w:id="3"/>
    <w:p w:rsidR="002A605E" w:rsidRDefault="002A605E" w:rsidP="002A605E">
      <w:pPr>
        <w:pStyle w:val="NumreratStycke111"/>
        <w:numPr>
          <w:ilvl w:val="2"/>
          <w:numId w:val="11"/>
        </w:numPr>
        <w:rPr>
          <w:rFonts w:eastAsia="Arial Unicode MS"/>
          <w:lang w:val="en-US"/>
        </w:rPr>
      </w:pPr>
      <w:r>
        <w:rPr>
          <w:rFonts w:eastAsia="Arial Unicode MS"/>
          <w:lang w:val="en-US"/>
        </w:rPr>
        <w:t xml:space="preserve">And may only be used by Wolters Kluwer for the purposes of improving and/or developing the following kinds of service or categories of service ordered by the Customer: </w:t>
      </w:r>
    </w:p>
    <w:p w:rsidR="002A605E" w:rsidRPr="005C1F42" w:rsidRDefault="002A605E" w:rsidP="002A605E">
      <w:pPr>
        <w:pStyle w:val="Normalindrykning"/>
        <w:rPr>
          <w:rFonts w:eastAsia="Arial Unicode MS"/>
          <w:lang w:val="en-US"/>
        </w:rPr>
      </w:pPr>
      <w:bookmarkStart w:id="4" w:name="_Hlk511999685"/>
      <w:r w:rsidRPr="005C1F42">
        <w:rPr>
          <w:rFonts w:eastAsia="Arial Unicode MS"/>
          <w:lang w:val="en-US"/>
        </w:rPr>
        <w:t>Improve end-user support and issue handling</w:t>
      </w:r>
    </w:p>
    <w:p w:rsidR="002A605E" w:rsidRDefault="002A605E" w:rsidP="002A605E">
      <w:pPr>
        <w:pStyle w:val="Normalindrykning"/>
        <w:rPr>
          <w:rFonts w:eastAsia="Arial Unicode MS"/>
          <w:lang w:val="en-US"/>
        </w:rPr>
      </w:pPr>
      <w:r w:rsidRPr="005C1F42">
        <w:rPr>
          <w:rFonts w:eastAsia="Arial Unicode MS"/>
          <w:lang w:val="en-US"/>
        </w:rPr>
        <w:t>Improve software products and related services</w:t>
      </w:r>
    </w:p>
    <w:bookmarkEnd w:id="4"/>
    <w:p w:rsidR="002A605E" w:rsidRPr="005C1F42" w:rsidRDefault="002A605E" w:rsidP="002A605E">
      <w:pPr>
        <w:pStyle w:val="Normalindrykning"/>
        <w:rPr>
          <w:rFonts w:eastAsia="Arial Unicode MS"/>
          <w:lang w:val="en-US"/>
        </w:rPr>
      </w:pPr>
    </w:p>
    <w:p w:rsidR="002A605E" w:rsidRPr="002A605E" w:rsidRDefault="002A605E" w:rsidP="002A605E">
      <w:pPr>
        <w:pStyle w:val="Overskrift1"/>
        <w:numPr>
          <w:ilvl w:val="0"/>
          <w:numId w:val="12"/>
        </w:numPr>
      </w:pPr>
      <w:r w:rsidRPr="002A605E">
        <w:t>SECURITY MEASURES</w:t>
      </w:r>
    </w:p>
    <w:p w:rsidR="002A605E" w:rsidRPr="002A605E" w:rsidRDefault="002A605E" w:rsidP="002A605E">
      <w:pPr>
        <w:pStyle w:val="Overskrift2"/>
      </w:pPr>
      <w:r w:rsidRPr="002A605E">
        <w:t>Physical access control</w:t>
      </w:r>
    </w:p>
    <w:p w:rsidR="002A605E" w:rsidRPr="005C1F42" w:rsidRDefault="002A605E" w:rsidP="002A605E">
      <w:pPr>
        <w:pStyle w:val="NumreratStycke111"/>
        <w:numPr>
          <w:ilvl w:val="0"/>
          <w:numId w:val="0"/>
        </w:numPr>
        <w:ind w:left="850"/>
        <w:rPr>
          <w:rFonts w:eastAsia="Arial Unicode MS"/>
          <w:lang w:val="en-US"/>
        </w:rPr>
      </w:pPr>
      <w:r w:rsidRPr="005C1F42">
        <w:rPr>
          <w:rFonts w:eastAsia="Arial Unicode MS"/>
          <w:lang w:val="en-US"/>
        </w:rPr>
        <w:t>See Wolters Kluwer Global IT Security Policy (GBS), and Wolters Kluwer Information Security Baseline (GDPR Privacy Library #6.1).</w:t>
      </w:r>
    </w:p>
    <w:p w:rsidR="002A605E" w:rsidRPr="002A605E" w:rsidRDefault="002A605E" w:rsidP="002A605E">
      <w:pPr>
        <w:pStyle w:val="Overskrift2"/>
      </w:pPr>
      <w:r w:rsidRPr="002A605E">
        <w:t xml:space="preserve">Access control for systems </w:t>
      </w:r>
    </w:p>
    <w:p w:rsidR="002A605E" w:rsidRPr="005C1F42" w:rsidRDefault="002A605E" w:rsidP="002A605E">
      <w:pPr>
        <w:pStyle w:val="Normalindrykning"/>
        <w:rPr>
          <w:rFonts w:eastAsia="Arial Unicode MS"/>
          <w:lang w:val="en-US"/>
        </w:rPr>
      </w:pPr>
      <w:r w:rsidRPr="005C1F42">
        <w:rPr>
          <w:rFonts w:eastAsia="Arial Unicode MS"/>
          <w:lang w:val="en-US"/>
        </w:rPr>
        <w:t>See Wolters Kluwer Global IT Security Policy (GBS), and Wolters Kluwer Permission Management Policy and Matrix (GDPR Privacy Library #4.1).</w:t>
      </w:r>
    </w:p>
    <w:p w:rsidR="002A605E" w:rsidRDefault="002A605E" w:rsidP="002A605E">
      <w:pPr>
        <w:pStyle w:val="Overskrift2"/>
      </w:pPr>
      <w:r>
        <w:t>Access control for personal data</w:t>
      </w:r>
    </w:p>
    <w:p w:rsidR="002A605E" w:rsidRPr="005C1F42" w:rsidRDefault="002A605E" w:rsidP="002A605E">
      <w:pPr>
        <w:pStyle w:val="Normalindrykning"/>
        <w:rPr>
          <w:rFonts w:eastAsia="Arial Unicode MS"/>
          <w:lang w:val="en-US" w:eastAsia="en-US"/>
        </w:rPr>
      </w:pPr>
      <w:r w:rsidRPr="005C1F42">
        <w:rPr>
          <w:rFonts w:eastAsia="Arial Unicode MS"/>
          <w:lang w:val="en-US"/>
        </w:rPr>
        <w:t>See Wolters Kluwer Global IT Security Policy (GBS), and Wolters Kluwer Permission Management Policy and Matrix (GDPR Privacy Library #4.1)</w:t>
      </w:r>
    </w:p>
    <w:p w:rsidR="002A605E" w:rsidRDefault="002A605E" w:rsidP="002A605E">
      <w:pPr>
        <w:pStyle w:val="Overskrift2"/>
      </w:pPr>
      <w:r>
        <w:t>Access controls during transfers</w:t>
      </w:r>
    </w:p>
    <w:p w:rsidR="002A605E" w:rsidRPr="006B6E11" w:rsidRDefault="002A605E" w:rsidP="002A605E">
      <w:pPr>
        <w:pStyle w:val="Normalindrykning"/>
        <w:rPr>
          <w:rFonts w:eastAsia="Arial Unicode MS"/>
          <w:lang w:val="en-US"/>
        </w:rPr>
      </w:pPr>
      <w:r w:rsidRPr="000573A0">
        <w:rPr>
          <w:rFonts w:eastAsia="Arial Unicode MS"/>
          <w:lang w:val="en-US"/>
        </w:rPr>
        <w:t>Wolters Kluwer enforces encryption in transit whenever (personal) data is transmitted electronically outside of Wolters Kluwer’s secure IT environment. Wolters Kluwer enforces encryption in transit and encryption at rest when practically possible within Wolters Kluwer’s secure IT environment. Backup data is always encrypted.</w:t>
      </w:r>
    </w:p>
    <w:p w:rsidR="002A605E" w:rsidRDefault="002A605E" w:rsidP="002A605E">
      <w:pPr>
        <w:pStyle w:val="Overskrift2"/>
      </w:pPr>
      <w:r>
        <w:t>Control of personal data entry</w:t>
      </w:r>
    </w:p>
    <w:p w:rsidR="002A605E" w:rsidRPr="006B6E11" w:rsidRDefault="002A605E" w:rsidP="002A605E">
      <w:pPr>
        <w:pStyle w:val="Normalindrykning"/>
        <w:rPr>
          <w:rFonts w:eastAsia="Arial Unicode MS"/>
          <w:lang w:val="en-US"/>
        </w:rPr>
      </w:pPr>
      <w:r w:rsidRPr="006B6E11">
        <w:rPr>
          <w:rFonts w:eastAsia="Arial Unicode MS"/>
          <w:lang w:val="en-US"/>
        </w:rPr>
        <w:t>Wolters Kluwer maintains an Audit Trail of the processing of personal data in accordance with the General Data Protection Regulation.</w:t>
      </w:r>
    </w:p>
    <w:p w:rsidR="002A605E" w:rsidRDefault="002A605E" w:rsidP="002A605E">
      <w:pPr>
        <w:pStyle w:val="Overskrift2"/>
      </w:pPr>
      <w:r>
        <w:t xml:space="preserve">Accessibility checks </w:t>
      </w:r>
    </w:p>
    <w:p w:rsidR="002A605E" w:rsidRPr="006B6E11" w:rsidRDefault="002A605E" w:rsidP="002A605E">
      <w:pPr>
        <w:pStyle w:val="Normalindrykning"/>
        <w:rPr>
          <w:rFonts w:eastAsia="Arial Unicode MS"/>
          <w:lang w:val="en-US"/>
        </w:rPr>
      </w:pPr>
      <w:r w:rsidRPr="006B6E11">
        <w:rPr>
          <w:rFonts w:eastAsia="Arial Unicode MS"/>
          <w:lang w:val="en-US"/>
        </w:rPr>
        <w:t>Wolters Kluwer has backup and restore processes in place for all business-critical data, including personal data. These processes are regularly tested and maintained.</w:t>
      </w:r>
    </w:p>
    <w:p w:rsidR="002A605E" w:rsidRDefault="002A605E" w:rsidP="002A605E">
      <w:pPr>
        <w:pStyle w:val="Overskrift2"/>
      </w:pPr>
      <w:r>
        <w:t>Separation checks</w:t>
      </w:r>
    </w:p>
    <w:p w:rsidR="002A605E" w:rsidRPr="006B6E11" w:rsidRDefault="002A605E" w:rsidP="002A605E">
      <w:pPr>
        <w:pStyle w:val="Normalindrykning"/>
        <w:rPr>
          <w:rFonts w:eastAsia="Arial Unicode MS"/>
          <w:lang w:val="en-US"/>
        </w:rPr>
      </w:pPr>
      <w:r w:rsidRPr="006B6E11">
        <w:rPr>
          <w:rFonts w:eastAsia="Arial Unicode MS"/>
          <w:lang w:val="en-US"/>
        </w:rPr>
        <w:t>Wolters Kluwer actively maintains a comprehensive register of all personal data processing activities, including the purpose of each processing. This register is used -amongst other things- to ensure that personal data is used only for its explicitly stated purpose.</w:t>
      </w:r>
    </w:p>
    <w:p w:rsidR="002A605E" w:rsidRPr="002A605E" w:rsidRDefault="002A605E" w:rsidP="002A605E">
      <w:pPr>
        <w:pStyle w:val="Overskrift2"/>
      </w:pPr>
      <w:r w:rsidRPr="002A605E">
        <w:t>Retention rules</w:t>
      </w:r>
    </w:p>
    <w:p w:rsidR="002A605E" w:rsidRPr="006B6E11" w:rsidRDefault="002A605E" w:rsidP="002A605E">
      <w:pPr>
        <w:pStyle w:val="NumreratStycke111"/>
        <w:numPr>
          <w:ilvl w:val="2"/>
          <w:numId w:val="11"/>
        </w:numPr>
        <w:rPr>
          <w:rFonts w:eastAsia="Arial Unicode MS"/>
          <w:lang w:val="en-US"/>
        </w:rPr>
      </w:pPr>
      <w:r w:rsidRPr="006B6E11">
        <w:rPr>
          <w:rFonts w:eastAsia="Arial Unicode MS"/>
          <w:lang w:val="en-US"/>
        </w:rPr>
        <w:t xml:space="preserve">During the term of the General Terms and Conditions: As soon as possible and at the latest within one month from when the Customer asked for the personal data to be erased. </w:t>
      </w:r>
    </w:p>
    <w:p w:rsidR="002A605E" w:rsidRPr="006B6E11" w:rsidRDefault="002A605E" w:rsidP="002A605E">
      <w:pPr>
        <w:pStyle w:val="NumreratStycke111"/>
        <w:numPr>
          <w:ilvl w:val="2"/>
          <w:numId w:val="11"/>
        </w:numPr>
        <w:rPr>
          <w:rFonts w:eastAsia="Arial Unicode MS"/>
          <w:lang w:val="en-US"/>
        </w:rPr>
      </w:pPr>
      <w:r w:rsidRPr="006B6E11">
        <w:rPr>
          <w:rFonts w:eastAsia="Arial Unicode MS"/>
          <w:lang w:val="en-US"/>
        </w:rPr>
        <w:t>After the General Terms and Conditions has ceased to apply: See Sub-clause 8.2 of the Data Processing Agreement.</w:t>
      </w:r>
    </w:p>
    <w:p w:rsidR="002A605E" w:rsidRPr="002A605E" w:rsidRDefault="002A605E" w:rsidP="002A605E">
      <w:pPr>
        <w:pStyle w:val="Overskrift2"/>
      </w:pPr>
      <w:r w:rsidRPr="002A605E">
        <w:t>Security policy</w:t>
      </w:r>
    </w:p>
    <w:p w:rsidR="002A605E" w:rsidRPr="006B6E11" w:rsidRDefault="002A605E" w:rsidP="002A605E">
      <w:pPr>
        <w:autoSpaceDE w:val="0"/>
        <w:autoSpaceDN w:val="0"/>
        <w:adjustRightInd w:val="0"/>
        <w:spacing w:after="0" w:line="240" w:lineRule="auto"/>
        <w:ind w:firstLine="850"/>
        <w:rPr>
          <w:rFonts w:eastAsia="Arial Unicode MS"/>
          <w:lang w:val="en-US"/>
        </w:rPr>
      </w:pPr>
      <w:r w:rsidRPr="006B6E11">
        <w:rPr>
          <w:rFonts w:eastAsia="Arial Unicode MS"/>
          <w:lang w:val="en-US"/>
        </w:rPr>
        <w:t>See Wolters Kluwer Global IT Security Policy (GBS).</w:t>
      </w:r>
    </w:p>
    <w:p w:rsidR="002A605E" w:rsidRPr="002A605E" w:rsidRDefault="002A605E" w:rsidP="002A605E">
      <w:pPr>
        <w:pStyle w:val="Overskrift2"/>
      </w:pPr>
      <w:r w:rsidRPr="002A605E">
        <w:t xml:space="preserve">Certifications, etc. </w:t>
      </w:r>
    </w:p>
    <w:p w:rsidR="002A605E" w:rsidRPr="006B6E11" w:rsidRDefault="002A605E" w:rsidP="002A605E">
      <w:pPr>
        <w:autoSpaceDE w:val="0"/>
        <w:autoSpaceDN w:val="0"/>
        <w:adjustRightInd w:val="0"/>
        <w:spacing w:after="0" w:line="240" w:lineRule="auto"/>
        <w:ind w:left="850"/>
        <w:rPr>
          <w:rFonts w:eastAsia="Arial Unicode MS"/>
          <w:lang w:val="en-US"/>
        </w:rPr>
      </w:pPr>
      <w:r w:rsidRPr="006B6E11">
        <w:rPr>
          <w:rFonts w:eastAsia="Arial Unicode MS"/>
          <w:lang w:val="en-US"/>
        </w:rPr>
        <w:t>See Wolters Kluwer Global IT Security Policy (GBS), which is based on ISO27001.</w:t>
      </w:r>
    </w:p>
    <w:p w:rsidR="002A605E" w:rsidRPr="002A605E" w:rsidRDefault="002A605E" w:rsidP="002A605E">
      <w:pPr>
        <w:autoSpaceDE w:val="0"/>
        <w:autoSpaceDN w:val="0"/>
        <w:adjustRightInd w:val="0"/>
        <w:spacing w:after="0" w:line="240" w:lineRule="auto"/>
        <w:ind w:left="850"/>
        <w:rPr>
          <w:rFonts w:ascii="Calibri Light" w:eastAsia="Arial Unicode MS" w:hAnsi="Calibri Light" w:cs="Calibri Light"/>
          <w:b/>
          <w:szCs w:val="22"/>
          <w:lang w:val="en-US" w:eastAsia="en-US"/>
        </w:rPr>
      </w:pPr>
    </w:p>
    <w:p w:rsidR="002A605E" w:rsidRPr="00390FD1" w:rsidRDefault="002A605E" w:rsidP="002A605E">
      <w:pPr>
        <w:pStyle w:val="Overskrift1"/>
        <w:numPr>
          <w:ilvl w:val="0"/>
          <w:numId w:val="12"/>
        </w:numPr>
      </w:pPr>
      <w:r w:rsidRPr="00390FD1">
        <w:lastRenderedPageBreak/>
        <w:t>Pre-approved sub-processors</w:t>
      </w:r>
    </w:p>
    <w:p w:rsidR="002A605E" w:rsidRPr="001419FB" w:rsidRDefault="002A605E" w:rsidP="002A605E">
      <w:pPr>
        <w:pStyle w:val="Normalindrykning"/>
        <w:spacing w:after="200"/>
        <w:ind w:left="0"/>
        <w:jc w:val="left"/>
        <w:rPr>
          <w:bCs/>
          <w:lang w:val="en-GB"/>
        </w:rPr>
      </w:pPr>
      <w:r w:rsidRPr="001419FB">
        <w:rPr>
          <w:bCs/>
          <w:lang w:val="en-GB"/>
        </w:rPr>
        <w:t>Wolters Kluwer is entitled to use the following sub-processors to p</w:t>
      </w:r>
      <w:r>
        <w:rPr>
          <w:bCs/>
          <w:lang w:val="en-GB"/>
        </w:rPr>
        <w:t xml:space="preserve">rocess personal data under the Data Protection </w:t>
      </w:r>
      <w:r w:rsidRPr="001419FB">
        <w:rPr>
          <w:bCs/>
          <w:lang w:val="en-GB"/>
        </w:rPr>
        <w:t>Agreement:</w:t>
      </w:r>
    </w:p>
    <w:tbl>
      <w:tblPr>
        <w:tblStyle w:val="Tabel-Gitter"/>
        <w:tblW w:w="5000" w:type="pct"/>
        <w:tblLook w:val="04A0" w:firstRow="1" w:lastRow="0" w:firstColumn="1" w:lastColumn="0" w:noHBand="0" w:noVBand="1"/>
      </w:tblPr>
      <w:tblGrid>
        <w:gridCol w:w="3456"/>
        <w:gridCol w:w="6002"/>
      </w:tblGrid>
      <w:tr w:rsidR="002A605E" w:rsidRPr="001419FB" w:rsidTr="00206C4C">
        <w:tc>
          <w:tcPr>
            <w:tcW w:w="1827" w:type="pct"/>
          </w:tcPr>
          <w:p w:rsidR="002A605E" w:rsidRPr="002A605E" w:rsidRDefault="002A605E" w:rsidP="00206C4C">
            <w:pPr>
              <w:pStyle w:val="Listeafsnit"/>
              <w:spacing w:before="100" w:after="200"/>
              <w:ind w:left="0"/>
              <w:rPr>
                <w:b/>
                <w:highlight w:val="lightGray"/>
                <w:lang w:val="en-GB"/>
              </w:rPr>
            </w:pPr>
            <w:r w:rsidRPr="006B065B">
              <w:rPr>
                <w:b/>
                <w:lang w:val="en-GB"/>
              </w:rPr>
              <w:t>Name</w:t>
            </w:r>
            <w:r w:rsidRPr="002A605E">
              <w:rPr>
                <w:b/>
                <w:highlight w:val="lightGray"/>
                <w:lang w:val="en-GB"/>
              </w:rPr>
              <w:t xml:space="preserve"> </w:t>
            </w:r>
          </w:p>
        </w:tc>
        <w:tc>
          <w:tcPr>
            <w:tcW w:w="3173" w:type="pct"/>
          </w:tcPr>
          <w:p w:rsidR="002A605E" w:rsidRPr="002A605E" w:rsidRDefault="002A605E" w:rsidP="00206C4C">
            <w:pPr>
              <w:spacing w:before="100" w:after="200"/>
              <w:rPr>
                <w:b/>
                <w:highlight w:val="lightGray"/>
                <w:lang w:val="en-GB"/>
              </w:rPr>
            </w:pPr>
            <w:r w:rsidRPr="006B065B">
              <w:rPr>
                <w:b/>
                <w:lang w:val="en-GB"/>
              </w:rPr>
              <w:t>Location of processing (country)</w:t>
            </w:r>
          </w:p>
        </w:tc>
      </w:tr>
      <w:tr w:rsidR="002A605E" w:rsidRPr="001419FB" w:rsidTr="00206C4C">
        <w:tc>
          <w:tcPr>
            <w:tcW w:w="1827" w:type="pct"/>
          </w:tcPr>
          <w:p w:rsidR="002A605E" w:rsidRPr="001419FB" w:rsidRDefault="002A605E" w:rsidP="00206C4C">
            <w:pPr>
              <w:pStyle w:val="Listeafsnit"/>
              <w:spacing w:before="100" w:after="200"/>
              <w:ind w:left="0"/>
              <w:rPr>
                <w:lang w:val="en-GB"/>
              </w:rPr>
            </w:pPr>
            <w:r>
              <w:rPr>
                <w:lang w:val="en-GB"/>
              </w:rPr>
              <w:t>Multisoft AB</w:t>
            </w:r>
          </w:p>
        </w:tc>
        <w:tc>
          <w:tcPr>
            <w:tcW w:w="3173" w:type="pct"/>
          </w:tcPr>
          <w:p w:rsidR="002A605E" w:rsidRPr="001419FB" w:rsidRDefault="002A605E" w:rsidP="00206C4C">
            <w:pPr>
              <w:spacing w:before="100" w:after="200"/>
              <w:rPr>
                <w:lang w:val="en-GB"/>
              </w:rPr>
            </w:pPr>
            <w:r>
              <w:rPr>
                <w:lang w:val="en-GB"/>
              </w:rPr>
              <w:t>Sweden</w:t>
            </w:r>
          </w:p>
        </w:tc>
      </w:tr>
      <w:tr w:rsidR="002A605E" w:rsidRPr="001419FB" w:rsidTr="00206C4C">
        <w:tc>
          <w:tcPr>
            <w:tcW w:w="1827" w:type="pct"/>
          </w:tcPr>
          <w:p w:rsidR="002A605E" w:rsidRPr="002A605E" w:rsidRDefault="002A605E" w:rsidP="00206C4C">
            <w:pPr>
              <w:pStyle w:val="Listeafsnit"/>
              <w:spacing w:before="100" w:after="200"/>
              <w:ind w:left="0"/>
              <w:rPr>
                <w:highlight w:val="lightGray"/>
                <w:lang w:val="en-GB"/>
              </w:rPr>
            </w:pPr>
            <w:r w:rsidRPr="00D46D40">
              <w:rPr>
                <w:lang w:val="en-GB"/>
              </w:rPr>
              <w:t>IT Forum-gruppen AS</w:t>
            </w:r>
          </w:p>
        </w:tc>
        <w:tc>
          <w:tcPr>
            <w:tcW w:w="3173" w:type="pct"/>
          </w:tcPr>
          <w:p w:rsidR="002A605E" w:rsidRPr="002A605E" w:rsidRDefault="002A605E" w:rsidP="00206C4C">
            <w:pPr>
              <w:spacing w:before="100" w:after="200"/>
              <w:rPr>
                <w:highlight w:val="lightGray"/>
                <w:lang w:val="en-GB"/>
              </w:rPr>
            </w:pPr>
            <w:r w:rsidRPr="008D0EBA">
              <w:rPr>
                <w:lang w:val="en-GB"/>
              </w:rPr>
              <w:t xml:space="preserve">Denmark </w:t>
            </w:r>
          </w:p>
        </w:tc>
      </w:tr>
      <w:tr w:rsidR="002A605E" w:rsidRPr="001419FB" w:rsidTr="00206C4C">
        <w:tc>
          <w:tcPr>
            <w:tcW w:w="1827" w:type="pct"/>
          </w:tcPr>
          <w:p w:rsidR="002A605E" w:rsidRPr="00D46D40" w:rsidRDefault="002A605E" w:rsidP="00206C4C">
            <w:pPr>
              <w:pStyle w:val="Listeafsnit"/>
              <w:spacing w:before="100" w:after="200"/>
              <w:ind w:left="0"/>
              <w:rPr>
                <w:lang w:val="en-GB"/>
              </w:rPr>
            </w:pPr>
            <w:r w:rsidRPr="00D46D40">
              <w:rPr>
                <w:lang w:val="en-GB"/>
              </w:rPr>
              <w:t>Penneo APS</w:t>
            </w:r>
          </w:p>
        </w:tc>
        <w:tc>
          <w:tcPr>
            <w:tcW w:w="3173" w:type="pct"/>
          </w:tcPr>
          <w:p w:rsidR="002A605E" w:rsidRPr="002A605E" w:rsidRDefault="002A605E" w:rsidP="00206C4C">
            <w:pPr>
              <w:spacing w:before="100" w:after="200"/>
              <w:rPr>
                <w:highlight w:val="lightGray"/>
                <w:lang w:val="en-GB"/>
              </w:rPr>
            </w:pPr>
            <w:r>
              <w:rPr>
                <w:lang w:val="en-GB"/>
              </w:rPr>
              <w:t>Denmark</w:t>
            </w:r>
          </w:p>
        </w:tc>
      </w:tr>
      <w:tr w:rsidR="002A605E" w:rsidRPr="001419FB" w:rsidTr="00206C4C">
        <w:tc>
          <w:tcPr>
            <w:tcW w:w="1827" w:type="pct"/>
            <w:shd w:val="clear" w:color="auto" w:fill="auto"/>
          </w:tcPr>
          <w:p w:rsidR="002A605E" w:rsidRPr="00B536CC" w:rsidRDefault="002A605E" w:rsidP="00206C4C">
            <w:pPr>
              <w:pStyle w:val="Listeafsnit"/>
              <w:spacing w:before="100" w:after="200"/>
              <w:ind w:left="0"/>
              <w:rPr>
                <w:lang w:val="en-GB"/>
              </w:rPr>
            </w:pPr>
            <w:r w:rsidRPr="00B536CC">
              <w:rPr>
                <w:lang w:val="en-GB"/>
              </w:rPr>
              <w:t>Amazon Web Services</w:t>
            </w:r>
          </w:p>
        </w:tc>
        <w:tc>
          <w:tcPr>
            <w:tcW w:w="3173" w:type="pct"/>
            <w:shd w:val="clear" w:color="auto" w:fill="auto"/>
          </w:tcPr>
          <w:p w:rsidR="002A605E" w:rsidRPr="00B536CC" w:rsidRDefault="002A605E" w:rsidP="00206C4C">
            <w:pPr>
              <w:spacing w:before="100" w:after="200"/>
              <w:rPr>
                <w:lang w:val="en-GB"/>
              </w:rPr>
            </w:pPr>
            <w:r w:rsidRPr="00B536CC">
              <w:rPr>
                <w:lang w:val="en-GB"/>
              </w:rPr>
              <w:t>Ireland, Germany</w:t>
            </w:r>
          </w:p>
        </w:tc>
      </w:tr>
      <w:tr w:rsidR="002A605E" w:rsidRPr="001419FB" w:rsidTr="00206C4C">
        <w:tc>
          <w:tcPr>
            <w:tcW w:w="1827" w:type="pct"/>
          </w:tcPr>
          <w:p w:rsidR="002A605E" w:rsidRPr="00D46D40" w:rsidRDefault="002A605E" w:rsidP="00206C4C">
            <w:pPr>
              <w:pStyle w:val="Listeafsnit"/>
              <w:spacing w:before="100" w:after="200"/>
              <w:ind w:left="0"/>
              <w:rPr>
                <w:lang w:val="en-GB"/>
              </w:rPr>
            </w:pPr>
            <w:r w:rsidRPr="00D46D40">
              <w:rPr>
                <w:lang w:val="en-GB"/>
              </w:rPr>
              <w:t>Företagsplatsen AB</w:t>
            </w:r>
          </w:p>
        </w:tc>
        <w:tc>
          <w:tcPr>
            <w:tcW w:w="3173" w:type="pct"/>
          </w:tcPr>
          <w:p w:rsidR="002A605E" w:rsidRPr="002A605E" w:rsidRDefault="002A605E" w:rsidP="00206C4C">
            <w:pPr>
              <w:spacing w:before="100" w:after="200"/>
              <w:rPr>
                <w:highlight w:val="lightGray"/>
                <w:lang w:val="en-GB"/>
              </w:rPr>
            </w:pPr>
            <w:r w:rsidRPr="008D0EBA">
              <w:rPr>
                <w:lang w:val="en-GB"/>
              </w:rPr>
              <w:t>Sweden</w:t>
            </w:r>
          </w:p>
        </w:tc>
      </w:tr>
    </w:tbl>
    <w:p w:rsidR="002A605E" w:rsidRPr="004E3879" w:rsidRDefault="002A605E" w:rsidP="002A605E"/>
    <w:p w:rsidR="00B71760" w:rsidRDefault="00B71760" w:rsidP="00DD3D57">
      <w:pPr>
        <w:pStyle w:val="BBrdAvslut"/>
      </w:pPr>
    </w:p>
    <w:sectPr w:rsidR="00B71760" w:rsidSect="008F7F03">
      <w:headerReference w:type="default" r:id="rId7"/>
      <w:headerReference w:type="first" r:id="rId8"/>
      <w:footerReference w:type="first" r:id="rId9"/>
      <w:pgSz w:w="11907" w:h="16840" w:code="9"/>
      <w:pgMar w:top="2268" w:right="964" w:bottom="794" w:left="1701"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B34" w:rsidRDefault="00B07B34">
      <w:r>
        <w:separator/>
      </w:r>
    </w:p>
  </w:endnote>
  <w:endnote w:type="continuationSeparator" w:id="0">
    <w:p w:rsidR="00B07B34" w:rsidRDefault="00B0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liss 2 Light">
    <w:altName w:val="Franklin Gothic Medium Cond"/>
    <w:charset w:val="00"/>
    <w:family w:val="auto"/>
    <w:pitch w:val="variable"/>
    <w:sig w:usb0="00000001"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San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EF" w:rsidRDefault="00E81123" w:rsidP="00B71760">
    <w:pPr>
      <w:pStyle w:val="Sidefod"/>
      <w:jc w:val="center"/>
      <w:rPr>
        <w:rFonts w:ascii="GillSans" w:hAnsi="GillSans"/>
        <w:sz w:val="15"/>
      </w:rPr>
    </w:pPr>
    <w:r>
      <w:rPr>
        <w:noProof/>
      </w:rPr>
      <w:drawing>
        <wp:anchor distT="0" distB="0" distL="114300" distR="114300" simplePos="0" relativeHeight="251658752" behindDoc="0" locked="0" layoutInCell="1" allowOverlap="1">
          <wp:simplePos x="0" y="0"/>
          <wp:positionH relativeFrom="column">
            <wp:posOffset>4000500</wp:posOffset>
          </wp:positionH>
          <wp:positionV relativeFrom="paragraph">
            <wp:posOffset>-91440</wp:posOffset>
          </wp:positionV>
          <wp:extent cx="2033905" cy="166370"/>
          <wp:effectExtent l="0" t="0" r="0" b="0"/>
          <wp:wrapThrough wrapText="bothSides">
            <wp:wrapPolygon edited="0">
              <wp:start x="0" y="0"/>
              <wp:lineTo x="0" y="19786"/>
              <wp:lineTo x="21445" y="19786"/>
              <wp:lineTo x="21445" y="0"/>
              <wp:lineTo x="0" y="0"/>
            </wp:wrapPolygon>
          </wp:wrapThrough>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166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B34" w:rsidRDefault="00B07B34">
      <w:r>
        <w:separator/>
      </w:r>
    </w:p>
  </w:footnote>
  <w:footnote w:type="continuationSeparator" w:id="0">
    <w:p w:rsidR="00B07B34" w:rsidRDefault="00B0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EF" w:rsidRDefault="00E81123">
    <w:pPr>
      <w:pStyle w:val="Sidehoved"/>
    </w:pPr>
    <w:r>
      <w:rPr>
        <w:noProof/>
      </w:rPr>
      <w:drawing>
        <wp:anchor distT="0" distB="0" distL="114300" distR="114300" simplePos="0" relativeHeight="251656704" behindDoc="0" locked="0" layoutInCell="1" allowOverlap="1">
          <wp:simplePos x="0" y="0"/>
          <wp:positionH relativeFrom="column">
            <wp:posOffset>-604520</wp:posOffset>
          </wp:positionH>
          <wp:positionV relativeFrom="paragraph">
            <wp:posOffset>-128905</wp:posOffset>
          </wp:positionV>
          <wp:extent cx="1934210" cy="894080"/>
          <wp:effectExtent l="0" t="0" r="0" b="0"/>
          <wp:wrapNone/>
          <wp:docPr id="2" name="Bild 5" descr="Beskrivning: WK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krivning: WKhuvud"/>
                  <pic:cNvPicPr>
                    <a:picLocks noChangeAspect="1" noChangeArrowheads="1"/>
                  </pic:cNvPicPr>
                </pic:nvPicPr>
                <pic:blipFill>
                  <a:blip r:embed="rId1">
                    <a:extLst>
                      <a:ext uri="{28A0092B-C50C-407E-A947-70E740481C1C}">
                        <a14:useLocalDpi xmlns:a14="http://schemas.microsoft.com/office/drawing/2010/main" val="0"/>
                      </a:ext>
                    </a:extLst>
                  </a:blip>
                  <a:srcRect l="967" r="70679"/>
                  <a:stretch>
                    <a:fillRect/>
                  </a:stretch>
                </pic:blipFill>
                <pic:spPr bwMode="auto">
                  <a:xfrm>
                    <a:off x="0" y="0"/>
                    <a:ext cx="1934210" cy="894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EF" w:rsidRDefault="00E81123">
    <w:pPr>
      <w:pStyle w:val="Sidehoved"/>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-111760</wp:posOffset>
          </wp:positionV>
          <wp:extent cx="6858000" cy="899795"/>
          <wp:effectExtent l="0" t="0" r="0" b="0"/>
          <wp:wrapThrough wrapText="bothSides">
            <wp:wrapPolygon edited="0">
              <wp:start x="480" y="457"/>
              <wp:lineTo x="180" y="3658"/>
              <wp:lineTo x="360" y="8689"/>
              <wp:lineTo x="9840" y="10061"/>
              <wp:lineTo x="10020" y="11890"/>
              <wp:lineTo x="10200" y="12805"/>
              <wp:lineTo x="16080" y="12805"/>
              <wp:lineTo x="16980" y="11890"/>
              <wp:lineTo x="18120" y="10061"/>
              <wp:lineTo x="18180" y="4573"/>
              <wp:lineTo x="15780" y="3658"/>
              <wp:lineTo x="960" y="457"/>
              <wp:lineTo x="480" y="457"/>
            </wp:wrapPolygon>
          </wp:wrapThrough>
          <wp:docPr id="5" name="Billede 5" descr="WKhuvud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Khuvud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C844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6C6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1A3F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DC81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8842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0F1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10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EADB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AA7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E0F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314060"/>
    <w:multiLevelType w:val="hybridMultilevel"/>
    <w:tmpl w:val="D1D688A0"/>
    <w:lvl w:ilvl="0" w:tplc="041D0001">
      <w:start w:val="1"/>
      <w:numFmt w:val="bullet"/>
      <w:lvlText w:val=""/>
      <w:lvlJc w:val="left"/>
      <w:pPr>
        <w:ind w:left="1570" w:hanging="360"/>
      </w:pPr>
      <w:rPr>
        <w:rFonts w:ascii="Symbol" w:hAnsi="Symbol" w:hint="default"/>
      </w:rPr>
    </w:lvl>
    <w:lvl w:ilvl="1" w:tplc="041D0003" w:tentative="1">
      <w:start w:val="1"/>
      <w:numFmt w:val="bullet"/>
      <w:lvlText w:val="o"/>
      <w:lvlJc w:val="left"/>
      <w:pPr>
        <w:ind w:left="2290" w:hanging="360"/>
      </w:pPr>
      <w:rPr>
        <w:rFonts w:ascii="Courier New" w:hAnsi="Courier New" w:cs="Courier New" w:hint="default"/>
      </w:rPr>
    </w:lvl>
    <w:lvl w:ilvl="2" w:tplc="041D0005" w:tentative="1">
      <w:start w:val="1"/>
      <w:numFmt w:val="bullet"/>
      <w:lvlText w:val=""/>
      <w:lvlJc w:val="left"/>
      <w:pPr>
        <w:ind w:left="3010" w:hanging="360"/>
      </w:pPr>
      <w:rPr>
        <w:rFonts w:ascii="Wingdings" w:hAnsi="Wingdings" w:hint="default"/>
      </w:rPr>
    </w:lvl>
    <w:lvl w:ilvl="3" w:tplc="041D0001" w:tentative="1">
      <w:start w:val="1"/>
      <w:numFmt w:val="bullet"/>
      <w:lvlText w:val=""/>
      <w:lvlJc w:val="left"/>
      <w:pPr>
        <w:ind w:left="3730" w:hanging="360"/>
      </w:pPr>
      <w:rPr>
        <w:rFonts w:ascii="Symbol" w:hAnsi="Symbol" w:hint="default"/>
      </w:rPr>
    </w:lvl>
    <w:lvl w:ilvl="4" w:tplc="041D0003" w:tentative="1">
      <w:start w:val="1"/>
      <w:numFmt w:val="bullet"/>
      <w:lvlText w:val="o"/>
      <w:lvlJc w:val="left"/>
      <w:pPr>
        <w:ind w:left="4450" w:hanging="360"/>
      </w:pPr>
      <w:rPr>
        <w:rFonts w:ascii="Courier New" w:hAnsi="Courier New" w:cs="Courier New" w:hint="default"/>
      </w:rPr>
    </w:lvl>
    <w:lvl w:ilvl="5" w:tplc="041D0005" w:tentative="1">
      <w:start w:val="1"/>
      <w:numFmt w:val="bullet"/>
      <w:lvlText w:val=""/>
      <w:lvlJc w:val="left"/>
      <w:pPr>
        <w:ind w:left="5170" w:hanging="360"/>
      </w:pPr>
      <w:rPr>
        <w:rFonts w:ascii="Wingdings" w:hAnsi="Wingdings" w:hint="default"/>
      </w:rPr>
    </w:lvl>
    <w:lvl w:ilvl="6" w:tplc="041D0001" w:tentative="1">
      <w:start w:val="1"/>
      <w:numFmt w:val="bullet"/>
      <w:lvlText w:val=""/>
      <w:lvlJc w:val="left"/>
      <w:pPr>
        <w:ind w:left="5890" w:hanging="360"/>
      </w:pPr>
      <w:rPr>
        <w:rFonts w:ascii="Symbol" w:hAnsi="Symbol" w:hint="default"/>
      </w:rPr>
    </w:lvl>
    <w:lvl w:ilvl="7" w:tplc="041D0003" w:tentative="1">
      <w:start w:val="1"/>
      <w:numFmt w:val="bullet"/>
      <w:lvlText w:val="o"/>
      <w:lvlJc w:val="left"/>
      <w:pPr>
        <w:ind w:left="6610" w:hanging="360"/>
      </w:pPr>
      <w:rPr>
        <w:rFonts w:ascii="Courier New" w:hAnsi="Courier New" w:cs="Courier New" w:hint="default"/>
      </w:rPr>
    </w:lvl>
    <w:lvl w:ilvl="8" w:tplc="041D0005" w:tentative="1">
      <w:start w:val="1"/>
      <w:numFmt w:val="bullet"/>
      <w:lvlText w:val=""/>
      <w:lvlJc w:val="left"/>
      <w:pPr>
        <w:ind w:left="7330" w:hanging="360"/>
      </w:pPr>
      <w:rPr>
        <w:rFonts w:ascii="Wingdings" w:hAnsi="Wingdings" w:hint="default"/>
      </w:rPr>
    </w:lvl>
  </w:abstractNum>
  <w:abstractNum w:abstractNumId="11" w15:restartNumberingAfterBreak="0">
    <w:nsid w:val="62B4665F"/>
    <w:multiLevelType w:val="multilevel"/>
    <w:tmpl w:val="34502D4C"/>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296"/>
  <w:hyphenationZone w:val="425"/>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5E"/>
    <w:rsid w:val="0003619B"/>
    <w:rsid w:val="00041DF4"/>
    <w:rsid w:val="00070B2A"/>
    <w:rsid w:val="00085888"/>
    <w:rsid w:val="000C3C05"/>
    <w:rsid w:val="00110664"/>
    <w:rsid w:val="001608C7"/>
    <w:rsid w:val="00164B6C"/>
    <w:rsid w:val="001C7733"/>
    <w:rsid w:val="001D395A"/>
    <w:rsid w:val="001D3F3A"/>
    <w:rsid w:val="002379E6"/>
    <w:rsid w:val="00251AFB"/>
    <w:rsid w:val="0026654B"/>
    <w:rsid w:val="00267DEA"/>
    <w:rsid w:val="002958CC"/>
    <w:rsid w:val="002A605E"/>
    <w:rsid w:val="002B7D8C"/>
    <w:rsid w:val="002F2289"/>
    <w:rsid w:val="00320137"/>
    <w:rsid w:val="0035314E"/>
    <w:rsid w:val="00385721"/>
    <w:rsid w:val="003B092E"/>
    <w:rsid w:val="003B71C1"/>
    <w:rsid w:val="00440705"/>
    <w:rsid w:val="004A37D8"/>
    <w:rsid w:val="00510D84"/>
    <w:rsid w:val="00563900"/>
    <w:rsid w:val="005B3FA9"/>
    <w:rsid w:val="005E1BEE"/>
    <w:rsid w:val="006938DF"/>
    <w:rsid w:val="006F6648"/>
    <w:rsid w:val="007245C9"/>
    <w:rsid w:val="007317EF"/>
    <w:rsid w:val="00751A07"/>
    <w:rsid w:val="007E33D7"/>
    <w:rsid w:val="007F2095"/>
    <w:rsid w:val="0081177C"/>
    <w:rsid w:val="00862AAD"/>
    <w:rsid w:val="00866C90"/>
    <w:rsid w:val="00891655"/>
    <w:rsid w:val="008C16A9"/>
    <w:rsid w:val="008F7F03"/>
    <w:rsid w:val="00905B76"/>
    <w:rsid w:val="009122E1"/>
    <w:rsid w:val="00920F8E"/>
    <w:rsid w:val="009334E7"/>
    <w:rsid w:val="009411F1"/>
    <w:rsid w:val="0094520C"/>
    <w:rsid w:val="00972D7E"/>
    <w:rsid w:val="009F070C"/>
    <w:rsid w:val="00A46216"/>
    <w:rsid w:val="00A95C25"/>
    <w:rsid w:val="00A962E2"/>
    <w:rsid w:val="00AE34EF"/>
    <w:rsid w:val="00B07B34"/>
    <w:rsid w:val="00B71760"/>
    <w:rsid w:val="00BC2118"/>
    <w:rsid w:val="00BC24A0"/>
    <w:rsid w:val="00BD32FD"/>
    <w:rsid w:val="00C00971"/>
    <w:rsid w:val="00C02DE6"/>
    <w:rsid w:val="00C438DC"/>
    <w:rsid w:val="00C60C9C"/>
    <w:rsid w:val="00C82552"/>
    <w:rsid w:val="00CF2CA7"/>
    <w:rsid w:val="00D068D4"/>
    <w:rsid w:val="00D17F9B"/>
    <w:rsid w:val="00D32F7D"/>
    <w:rsid w:val="00D3412A"/>
    <w:rsid w:val="00D43D9D"/>
    <w:rsid w:val="00DD2D4E"/>
    <w:rsid w:val="00DD3D57"/>
    <w:rsid w:val="00E02D42"/>
    <w:rsid w:val="00E12E8B"/>
    <w:rsid w:val="00E81123"/>
    <w:rsid w:val="00E8658C"/>
    <w:rsid w:val="00F421CF"/>
    <w:rsid w:val="00F4603A"/>
    <w:rsid w:val="00FE50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300"/>
  <w15:chartTrackingRefBased/>
  <w15:docId w15:val="{2FBE7A71-4B0F-436F-99FE-99CAE6A1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2A605E"/>
    <w:pPr>
      <w:spacing w:before="120" w:after="60" w:line="264" w:lineRule="auto"/>
      <w:jc w:val="both"/>
    </w:pPr>
    <w:rPr>
      <w:rFonts w:ascii="Arial" w:hAnsi="Arial"/>
      <w:sz w:val="22"/>
      <w:lang w:val="sv-SE" w:eastAsia="sv-SE"/>
    </w:rPr>
  </w:style>
  <w:style w:type="paragraph" w:styleId="Overskrift1">
    <w:name w:val="heading 1"/>
    <w:basedOn w:val="Normal"/>
    <w:next w:val="Normal"/>
    <w:autoRedefine/>
    <w:qFormat/>
    <w:rsid w:val="002A605E"/>
    <w:pPr>
      <w:keepNext/>
      <w:numPr>
        <w:numId w:val="11"/>
      </w:numPr>
      <w:spacing w:before="240"/>
      <w:ind w:left="850" w:hanging="850"/>
      <w:jc w:val="left"/>
      <w:outlineLvl w:val="0"/>
    </w:pPr>
    <w:rPr>
      <w:rFonts w:eastAsia="Arial Unicode MS" w:cs="Arial"/>
      <w:b/>
      <w:bCs/>
      <w:kern w:val="32"/>
      <w:sz w:val="32"/>
      <w:szCs w:val="32"/>
      <w:lang w:val="en-US" w:eastAsia="en-US"/>
    </w:rPr>
  </w:style>
  <w:style w:type="paragraph" w:styleId="Overskrift2">
    <w:name w:val="heading 2"/>
    <w:basedOn w:val="Normal"/>
    <w:next w:val="Normal"/>
    <w:autoRedefine/>
    <w:qFormat/>
    <w:rsid w:val="002A605E"/>
    <w:pPr>
      <w:keepNext/>
      <w:numPr>
        <w:ilvl w:val="1"/>
        <w:numId w:val="11"/>
      </w:numPr>
      <w:outlineLvl w:val="1"/>
    </w:pPr>
    <w:rPr>
      <w:rFonts w:eastAsia="Arial Unicode MS" w:cs="Arial"/>
      <w:b/>
      <w:bCs/>
      <w:iCs/>
      <w:sz w:val="24"/>
      <w:szCs w:val="24"/>
      <w:lang w:val="en-US" w:eastAsia="en-US"/>
    </w:rPr>
  </w:style>
  <w:style w:type="paragraph" w:styleId="Overskrift3">
    <w:name w:val="heading 3"/>
    <w:basedOn w:val="Normal"/>
    <w:next w:val="Normal"/>
    <w:autoRedefine/>
    <w:qFormat/>
    <w:rsid w:val="009122E1"/>
    <w:pPr>
      <w:keepNext/>
      <w:spacing w:before="240"/>
      <w:outlineLvl w:val="2"/>
    </w:pPr>
    <w:rPr>
      <w:rFonts w:cs="Arial"/>
      <w:b/>
      <w:bCs/>
      <w:szCs w:val="26"/>
    </w:rPr>
  </w:style>
  <w:style w:type="paragraph" w:styleId="Overskrift4">
    <w:name w:val="heading 4"/>
    <w:next w:val="Normalindrykning"/>
    <w:link w:val="Overskrift4Tegn"/>
    <w:qFormat/>
    <w:rsid w:val="002A605E"/>
    <w:pPr>
      <w:keepNext/>
      <w:tabs>
        <w:tab w:val="num" w:pos="850"/>
      </w:tabs>
      <w:spacing w:before="120" w:after="60" w:line="264" w:lineRule="auto"/>
      <w:ind w:left="850" w:hanging="850"/>
      <w:jc w:val="both"/>
      <w:outlineLvl w:val="3"/>
    </w:pPr>
    <w:rPr>
      <w:rFonts w:ascii="Arial" w:hAnsi="Arial"/>
      <w:sz w:val="22"/>
      <w:u w:val="single"/>
      <w:lang w:val="sv-SE" w:eastAsia="sv-SE"/>
    </w:rPr>
  </w:style>
  <w:style w:type="paragraph" w:styleId="Overskrift5">
    <w:name w:val="heading 5"/>
    <w:next w:val="Normalindrykning"/>
    <w:link w:val="Overskrift5Tegn"/>
    <w:qFormat/>
    <w:rsid w:val="002A605E"/>
    <w:pPr>
      <w:tabs>
        <w:tab w:val="num" w:pos="1417"/>
      </w:tabs>
      <w:spacing w:after="240" w:line="288" w:lineRule="auto"/>
      <w:ind w:left="1417" w:hanging="567"/>
      <w:jc w:val="both"/>
      <w:outlineLvl w:val="4"/>
    </w:pPr>
    <w:rPr>
      <w:sz w:val="24"/>
      <w:lang w:val="sv-SE" w:eastAsia="sv-SE"/>
    </w:rPr>
  </w:style>
  <w:style w:type="paragraph" w:styleId="Overskrift6">
    <w:name w:val="heading 6"/>
    <w:basedOn w:val="Overskrift5"/>
    <w:next w:val="Normalindrykning"/>
    <w:link w:val="Overskrift6Tegn"/>
    <w:qFormat/>
    <w:rsid w:val="002A605E"/>
    <w:pPr>
      <w:outlineLvl w:val="5"/>
    </w:pPr>
    <w:rPr>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536"/>
        <w:tab w:val="right" w:pos="9072"/>
      </w:tabs>
    </w:pPr>
  </w:style>
  <w:style w:type="paragraph" w:styleId="Sidefod">
    <w:name w:val="footer"/>
    <w:basedOn w:val="Normal"/>
    <w:pPr>
      <w:tabs>
        <w:tab w:val="center" w:pos="4536"/>
        <w:tab w:val="right" w:pos="9072"/>
      </w:tabs>
    </w:pPr>
  </w:style>
  <w:style w:type="character" w:styleId="Sidetal">
    <w:name w:val="page number"/>
    <w:basedOn w:val="Standardskrifttypeiafsnit"/>
  </w:style>
  <w:style w:type="paragraph" w:customStyle="1" w:styleId="BAdress">
    <w:name w:val="BAdress"/>
    <w:basedOn w:val="Normal"/>
    <w:rsid w:val="00A95C25"/>
  </w:style>
  <w:style w:type="paragraph" w:customStyle="1" w:styleId="BRubrik">
    <w:name w:val="BRubrik"/>
    <w:basedOn w:val="Normal"/>
    <w:next w:val="BBrdtext"/>
    <w:rsid w:val="00563900"/>
    <w:pPr>
      <w:spacing w:after="120"/>
    </w:pPr>
    <w:rPr>
      <w:b/>
      <w:sz w:val="24"/>
    </w:rPr>
  </w:style>
  <w:style w:type="paragraph" w:customStyle="1" w:styleId="BBrdtext">
    <w:name w:val="BBrödtext"/>
    <w:basedOn w:val="BRubrik"/>
    <w:rsid w:val="002379E6"/>
    <w:rPr>
      <w:b w:val="0"/>
      <w:sz w:val="22"/>
    </w:rPr>
  </w:style>
  <w:style w:type="paragraph" w:styleId="Markeringsbobletekst">
    <w:name w:val="Balloon Text"/>
    <w:basedOn w:val="Normal"/>
    <w:semiHidden/>
    <w:rsid w:val="00440705"/>
    <w:rPr>
      <w:rFonts w:ascii="Tahoma" w:hAnsi="Tahoma" w:cs="Tahoma"/>
      <w:sz w:val="16"/>
      <w:szCs w:val="16"/>
    </w:rPr>
  </w:style>
  <w:style w:type="paragraph" w:customStyle="1" w:styleId="BBrdAvslut">
    <w:name w:val="BBrödAvslut"/>
    <w:basedOn w:val="BBrdtext"/>
    <w:rsid w:val="002379E6"/>
    <w:pPr>
      <w:spacing w:after="0"/>
    </w:pPr>
  </w:style>
  <w:style w:type="table" w:styleId="Tabel-Gitter">
    <w:name w:val="Table Grid"/>
    <w:basedOn w:val="Tabel-Normal"/>
    <w:rsid w:val="007E3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Normal"/>
    <w:autoRedefine/>
    <w:rsid w:val="009122E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before="1" w:after="1" w:line="220" w:lineRule="exact"/>
      <w:ind w:left="1" w:right="1" w:firstLine="1"/>
    </w:pPr>
    <w:rPr>
      <w:sz w:val="20"/>
    </w:rPr>
  </w:style>
  <w:style w:type="paragraph" w:customStyle="1" w:styleId="FF">
    <w:name w:val="FF"/>
    <w:basedOn w:val="Normal"/>
    <w:next w:val="Normal"/>
    <w:autoRedefine/>
    <w:rsid w:val="001D395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before="1" w:after="1" w:line="220" w:lineRule="exact"/>
      <w:ind w:left="1" w:right="1" w:firstLine="1"/>
    </w:pPr>
    <w:rPr>
      <w:rFonts w:cs="Arial"/>
      <w:b/>
      <w:bCs/>
      <w:sz w:val="18"/>
      <w:szCs w:val="18"/>
    </w:rPr>
  </w:style>
  <w:style w:type="paragraph" w:customStyle="1" w:styleId="Normal-2">
    <w:name w:val="Normal-2"/>
    <w:basedOn w:val="Normal"/>
    <w:autoRedefine/>
    <w:rsid w:val="009122E1"/>
    <w:pPr>
      <w:ind w:firstLine="170"/>
    </w:pPr>
    <w:rPr>
      <w:rFonts w:cs="Trebuchet MS"/>
      <w:szCs w:val="22"/>
    </w:rPr>
  </w:style>
  <w:style w:type="paragraph" w:customStyle="1" w:styleId="R11">
    <w:name w:val="R11"/>
    <w:next w:val="Normal"/>
    <w:autoRedefine/>
    <w:rsid w:val="009122E1"/>
    <w:pPr>
      <w:tabs>
        <w:tab w:val="left" w:pos="567"/>
        <w:tab w:val="left" w:pos="1134"/>
        <w:tab w:val="left" w:pos="1757"/>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before="227" w:after="1"/>
      <w:ind w:left="1" w:right="1" w:firstLine="1"/>
    </w:pPr>
    <w:rPr>
      <w:rFonts w:ascii="Bliss 2 Light" w:hAnsi="Bliss 2 Light" w:cs="Trebuchet MS"/>
      <w:b/>
      <w:bCs/>
      <w:sz w:val="22"/>
      <w:szCs w:val="22"/>
      <w:lang w:val="sv-SE" w:eastAsia="sv-SE"/>
    </w:rPr>
  </w:style>
  <w:style w:type="paragraph" w:customStyle="1" w:styleId="R14">
    <w:name w:val="R14"/>
    <w:next w:val="Normal"/>
    <w:autoRedefine/>
    <w:rsid w:val="009122E1"/>
    <w:pPr>
      <w:tabs>
        <w:tab w:val="left" w:pos="567"/>
        <w:tab w:val="left" w:pos="1134"/>
        <w:tab w:val="left" w:pos="1757"/>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before="284" w:after="57" w:line="300" w:lineRule="exact"/>
      <w:ind w:left="1" w:right="1" w:firstLine="1"/>
    </w:pPr>
    <w:rPr>
      <w:rFonts w:ascii="Bliss 2 Light" w:hAnsi="Bliss 2 Light" w:cs="Trebuchet MS"/>
      <w:b/>
      <w:bCs/>
      <w:sz w:val="28"/>
      <w:szCs w:val="28"/>
      <w:lang w:val="sv-SE" w:eastAsia="sv-SE"/>
    </w:rPr>
  </w:style>
  <w:style w:type="paragraph" w:customStyle="1" w:styleId="R18">
    <w:name w:val="R18"/>
    <w:next w:val="Normal"/>
    <w:autoRedefine/>
    <w:rsid w:val="009122E1"/>
    <w:pPr>
      <w:tabs>
        <w:tab w:val="left" w:pos="567"/>
        <w:tab w:val="left" w:pos="1134"/>
        <w:tab w:val="left" w:pos="1757"/>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before="397" w:after="57" w:line="380" w:lineRule="exact"/>
      <w:ind w:left="1" w:right="1" w:firstLine="1"/>
    </w:pPr>
    <w:rPr>
      <w:rFonts w:ascii="Bliss 2 Light" w:hAnsi="Bliss 2 Light" w:cs="Arial"/>
      <w:b/>
      <w:bCs/>
      <w:sz w:val="36"/>
      <w:szCs w:val="36"/>
      <w:lang w:val="sv-SE" w:eastAsia="sv-SE"/>
    </w:rPr>
  </w:style>
  <w:style w:type="character" w:customStyle="1" w:styleId="Overskrift4Tegn">
    <w:name w:val="Overskrift 4 Tegn"/>
    <w:basedOn w:val="Standardskrifttypeiafsnit"/>
    <w:link w:val="Overskrift4"/>
    <w:rsid w:val="002A605E"/>
    <w:rPr>
      <w:rFonts w:ascii="Arial" w:hAnsi="Arial"/>
      <w:sz w:val="22"/>
      <w:u w:val="single"/>
      <w:lang w:val="sv-SE" w:eastAsia="sv-SE"/>
    </w:rPr>
  </w:style>
  <w:style w:type="character" w:customStyle="1" w:styleId="Overskrift5Tegn">
    <w:name w:val="Overskrift 5 Tegn"/>
    <w:basedOn w:val="Standardskrifttypeiafsnit"/>
    <w:link w:val="Overskrift5"/>
    <w:rsid w:val="002A605E"/>
    <w:rPr>
      <w:sz w:val="24"/>
      <w:lang w:val="sv-SE" w:eastAsia="sv-SE"/>
    </w:rPr>
  </w:style>
  <w:style w:type="character" w:customStyle="1" w:styleId="Overskrift6Tegn">
    <w:name w:val="Overskrift 6 Tegn"/>
    <w:basedOn w:val="Standardskrifttypeiafsnit"/>
    <w:link w:val="Overskrift6"/>
    <w:rsid w:val="002A605E"/>
    <w:rPr>
      <w:bCs/>
      <w:sz w:val="24"/>
      <w:szCs w:val="22"/>
      <w:lang w:val="sv-SE" w:eastAsia="sv-SE"/>
    </w:rPr>
  </w:style>
  <w:style w:type="paragraph" w:styleId="Normalindrykning">
    <w:name w:val="Normal Indent"/>
    <w:uiPriority w:val="1"/>
    <w:qFormat/>
    <w:rsid w:val="002A605E"/>
    <w:pPr>
      <w:tabs>
        <w:tab w:val="left" w:pos="851"/>
      </w:tabs>
      <w:spacing w:before="120" w:after="60" w:line="264" w:lineRule="auto"/>
      <w:ind w:left="851"/>
      <w:jc w:val="both"/>
    </w:pPr>
    <w:rPr>
      <w:rFonts w:ascii="Arial" w:hAnsi="Arial"/>
      <w:sz w:val="22"/>
      <w:lang w:val="sv-SE" w:eastAsia="sv-SE"/>
    </w:rPr>
  </w:style>
  <w:style w:type="paragraph" w:customStyle="1" w:styleId="NumreratStycke111">
    <w:name w:val="Numrerat Stycke 1.1.1"/>
    <w:basedOn w:val="Overskrift3"/>
    <w:uiPriority w:val="2"/>
    <w:qFormat/>
    <w:rsid w:val="002A605E"/>
    <w:pPr>
      <w:keepNext w:val="0"/>
      <w:numPr>
        <w:ilvl w:val="2"/>
      </w:numPr>
      <w:tabs>
        <w:tab w:val="num" w:pos="850"/>
      </w:tabs>
      <w:spacing w:before="120"/>
      <w:ind w:left="850" w:hanging="850"/>
      <w:outlineLvl w:val="9"/>
    </w:pPr>
    <w:rPr>
      <w:rFonts w:cs="Times New Roman"/>
      <w:b w:val="0"/>
      <w:bCs w:val="0"/>
      <w:szCs w:val="20"/>
    </w:rPr>
  </w:style>
  <w:style w:type="paragraph" w:styleId="Listeafsnit">
    <w:name w:val="List Paragraph"/>
    <w:basedOn w:val="Normal"/>
    <w:uiPriority w:val="34"/>
    <w:rsid w:val="002A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tved\Desktop\Dansk%20brevpapi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Dansk brevpapir</Template>
  <TotalTime>1</TotalTime>
  <Pages>3</Pages>
  <Words>610</Words>
  <Characters>3723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Brevmall NJ</vt:lpstr>
    </vt:vector>
  </TitlesOfParts>
  <Company>Norstedts Juridik AB</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NJ</dc:title>
  <dc:subject/>
  <dc:creator>Tved, Peter</dc:creator>
  <cp:keywords/>
  <dc:description>Brevmall med logga, liknande befintligt papper</dc:description>
  <cp:lastModifiedBy>Pedersen, Ditte</cp:lastModifiedBy>
  <cp:revision>2</cp:revision>
  <cp:lastPrinted>2015-10-02T08:30:00Z</cp:lastPrinted>
  <dcterms:created xsi:type="dcterms:W3CDTF">2018-05-16T08:40:00Z</dcterms:created>
  <dcterms:modified xsi:type="dcterms:W3CDTF">2018-05-16T08:40:00Z</dcterms:modified>
  <cp:category>Mallar</cp:category>
</cp:coreProperties>
</file>